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1E43539" w14:textId="1CFAC340" w:rsidR="00881520" w:rsidRPr="00AE4764" w:rsidRDefault="00F378AD" w:rsidP="00AE0768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5C89F868" w14:textId="138C1CC5" w:rsidR="00993245" w:rsidRPr="00A5292F" w:rsidRDefault="00AE6C53" w:rsidP="00AE076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78332903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EE0D45">
        <w:rPr>
          <w:rFonts w:ascii="Times New Roman" w:hAnsi="Times New Roman" w:cs="B Nazanin"/>
          <w:sz w:val="20"/>
          <w:szCs w:val="28"/>
          <w:lang w:bidi="fa-IR"/>
        </w:rPr>
        <w:t xml:space="preserve"> </w:t>
      </w:r>
      <w:r w:rsidR="003C238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کنترل عفونت </w:t>
      </w:r>
    </w:p>
    <w:p w14:paraId="3BE85335" w14:textId="69DDC844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EE0D45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بیمارستان آرش و بیمارستان امام خمینی </w:t>
      </w:r>
    </w:p>
    <w:p w14:paraId="5ACCE701" w14:textId="6968D052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EE0D45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کنترل عفونت </w:t>
      </w:r>
    </w:p>
    <w:p w14:paraId="01C6E789" w14:textId="0CDE9636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322FE4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زهرا بهبودی مقدم</w:t>
      </w:r>
      <w:bookmarkStart w:id="0" w:name="_GoBack"/>
      <w:bookmarkEnd w:id="0"/>
    </w:p>
    <w:p w14:paraId="46AD21E6" w14:textId="477BFAAF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EE0D45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مریم نکولعل و دکتر زهرا بهبودی مقدم </w:t>
      </w:r>
    </w:p>
    <w:p w14:paraId="7AFA580F" w14:textId="77777777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</w:p>
    <w:p w14:paraId="711130AE" w14:textId="5B316005" w:rsidR="007D4D72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3C238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17 ساعت معادل نیم واحد کار آموزی 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77777777" w:rsidR="00993245" w:rsidRPr="00870116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2D14CF41" w14:textId="77777777" w:rsidR="00993245" w:rsidRPr="00870116" w:rsidRDefault="00993245" w:rsidP="00993245">
      <w:pPr>
        <w:bidi/>
        <w:spacing w:after="0"/>
        <w:jc w:val="both"/>
        <w:rPr>
          <w:rFonts w:ascii="Times New Roman" w:hAnsi="Times New Roman" w:cs="IranNastaliq"/>
          <w:bCs/>
          <w:sz w:val="24"/>
          <w:szCs w:val="24"/>
          <w:rtl/>
          <w:lang w:bidi="fa-IR"/>
        </w:rPr>
      </w:pPr>
    </w:p>
    <w:p w14:paraId="353D0813" w14:textId="1A30DF84" w:rsidR="002234CF" w:rsidRDefault="00E50C3B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870116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2"/>
      </w:r>
      <w:r w:rsidR="00655ABC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FFB8E9D" w14:textId="17A39F1F" w:rsidR="003C238B" w:rsidRPr="00870116" w:rsidRDefault="003C238B" w:rsidP="003C238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آشنایی با کنترل عفونت در بیمارستان ، گند زداها ، روند استریلیزاسیون ،پک کردن و...</w:t>
      </w:r>
    </w:p>
    <w:p w14:paraId="17FC9E1F" w14:textId="77777777" w:rsidR="002234CF" w:rsidRPr="00870116" w:rsidRDefault="002234CF" w:rsidP="002234C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1387934" w14:textId="77777777" w:rsidR="00AE0768" w:rsidRPr="00870116" w:rsidRDefault="00AE0768" w:rsidP="00AE076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A574B41" w14:textId="40561994" w:rsidR="00993245" w:rsidRPr="00870116" w:rsidRDefault="00993245" w:rsidP="00D425E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 w:rsidRPr="00870116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3"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1EED999" w14:textId="77777777" w:rsidR="00993245" w:rsidRPr="00870116" w:rsidRDefault="00993245" w:rsidP="00993245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</w:t>
      </w:r>
      <w:r w:rsidR="0082676D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</w:p>
    <w:p w14:paraId="231EAC62" w14:textId="77777777" w:rsidR="00993245" w:rsidRPr="00870116" w:rsidRDefault="00993245" w:rsidP="00993245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E8E65E0" w14:textId="77777777" w:rsidR="00AE0768" w:rsidRPr="00870116" w:rsidRDefault="00AE0768" w:rsidP="00AE0768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430949D8" w:rsidR="00993245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87011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5662BA3C" w14:textId="46AD3D5C" w:rsidR="003C238B" w:rsidRDefault="003C238B" w:rsidP="003C238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مشاهده روند پکینگ و دفع صحیح پسماندهای بیمارستانی </w:t>
      </w:r>
    </w:p>
    <w:p w14:paraId="7F17C451" w14:textId="1A2CDFF8" w:rsidR="003C238B" w:rsidRPr="003C238B" w:rsidRDefault="003C238B" w:rsidP="003C238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چگونگی مواجهه با نیدل استیک و روشهای پیشگیری و ارایه عملکرد و مدیریت هنگام مواجه </w:t>
      </w:r>
    </w:p>
    <w:p w14:paraId="13833463" w14:textId="77777777" w:rsidR="007D345C" w:rsidRPr="00870116" w:rsidRDefault="007D345C" w:rsidP="00BD754A">
      <w:pPr>
        <w:bidi/>
        <w:spacing w:after="0"/>
        <w:jc w:val="both"/>
        <w:rPr>
          <w:rFonts w:ascii="Times New Roman" w:hAnsi="Times New Roman" w:cs="IranNastaliq"/>
          <w:bCs/>
          <w:sz w:val="24"/>
          <w:szCs w:val="24"/>
          <w:rtl/>
          <w:lang w:bidi="fa-IR"/>
        </w:rPr>
      </w:pPr>
    </w:p>
    <w:p w14:paraId="67E74619" w14:textId="77777777" w:rsidR="00AE0768" w:rsidRPr="00870116" w:rsidRDefault="00AE0768" w:rsidP="00AE0768">
      <w:pPr>
        <w:bidi/>
        <w:spacing w:after="0"/>
        <w:jc w:val="both"/>
        <w:rPr>
          <w:rFonts w:ascii="Times New Roman" w:hAnsi="Times New Roman" w:cs="IranNastaliq"/>
          <w:bCs/>
          <w:sz w:val="24"/>
          <w:szCs w:val="24"/>
          <w:rtl/>
          <w:lang w:bidi="fa-IR"/>
        </w:rPr>
      </w:pPr>
    </w:p>
    <w:p w14:paraId="2B7D650D" w14:textId="77777777" w:rsidR="00993245" w:rsidRPr="00870116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77777777" w:rsidR="009958F7" w:rsidRPr="00870116" w:rsidRDefault="00993245" w:rsidP="009958F7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(تکوینی/تراکمی)                        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 w:rsidRPr="00870116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3512FA06" w:rsidR="00993245" w:rsidRPr="00870116" w:rsidRDefault="00993245" w:rsidP="008D591E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8D591E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3C23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ارایه گزارش </w:t>
      </w:r>
    </w:p>
    <w:p w14:paraId="3BE09019" w14:textId="4B0F952F" w:rsidR="00993245" w:rsidRPr="00870116" w:rsidRDefault="00993245" w:rsidP="00AE0768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با لحاظ </w:t>
      </w:r>
      <w:r w:rsidR="00AE0768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کردن 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سهم رعایت آیین</w:t>
      </w:r>
      <w:r w:rsidR="002473AC" w:rsidRPr="00870116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نامه </w:t>
      </w:r>
      <w:r w:rsidR="00AE0768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ابلاغی 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پوشش حرفه ای</w:t>
      </w:r>
    </w:p>
    <w:p w14:paraId="3104E5A0" w14:textId="77777777" w:rsidR="00993245" w:rsidRPr="00870116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3E9FD19" w14:textId="77777777" w:rsidR="00993245" w:rsidRPr="00870116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629F76FB" w14:textId="77777777" w:rsidR="00993245" w:rsidRPr="00870116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1AA45F4A" w14:textId="0DAF6BC5" w:rsidR="00993245" w:rsidRPr="00870116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3C23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کتاب جامع بهداشت عمومی تالیف دکتر حسین حاتمی و همکاران </w:t>
      </w:r>
    </w:p>
    <w:p w14:paraId="2EE86723" w14:textId="1A86F29F" w:rsidR="00993245" w:rsidRPr="00870116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3C23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مقالات مرتبط </w:t>
      </w:r>
    </w:p>
    <w:p w14:paraId="24C9679C" w14:textId="5F69603E" w:rsidR="00993245" w:rsidRPr="003C238B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lang w:val="en-AU" w:bidi="fa-IR"/>
        </w:rPr>
      </w:pP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ج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3C23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سایت سازمان جهانی بهداشت و </w:t>
      </w:r>
      <w:r w:rsidR="003C238B">
        <w:rPr>
          <w:rFonts w:asciiTheme="majorBidi" w:hAnsiTheme="majorBidi" w:cs="B Nazanin"/>
          <w:sz w:val="24"/>
          <w:szCs w:val="24"/>
          <w:lang w:val="en-AU" w:bidi="fa-IR"/>
        </w:rPr>
        <w:t>CDC</w:t>
      </w:r>
    </w:p>
    <w:p w14:paraId="5D98807F" w14:textId="77777777" w:rsidR="00803159" w:rsidRPr="00870116" w:rsidRDefault="00803159" w:rsidP="00803159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9E48D87" w14:textId="77777777" w:rsidR="00F71D0D" w:rsidRPr="00870116" w:rsidRDefault="00F71D0D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DC4C873" w14:textId="77777777" w:rsidR="004F5F00" w:rsidRPr="00870116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14AE46E" w14:textId="77777777" w:rsidR="004F5F00" w:rsidRPr="00870116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F7BFF51" w14:textId="77777777" w:rsidR="00AE0768" w:rsidRPr="00870116" w:rsidRDefault="00AE0768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1D2D0AFF" w14:textId="2293C689" w:rsidR="00993245" w:rsidRDefault="00803159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بر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1A3445A5" w14:textId="34236A35" w:rsidR="003C238B" w:rsidRPr="00870116" w:rsidRDefault="003C238B" w:rsidP="003C238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بعد از کلاس تئوری با هماهنگی بین اساتید ، و رایزنی با مسوولین کنترل عفونت در بیمارستانها ، کارآموزی انجام می شود </w:t>
      </w:r>
    </w:p>
    <w:p w14:paraId="640B8B5C" w14:textId="77777777" w:rsidR="00993245" w:rsidRPr="00870116" w:rsidRDefault="00993245" w:rsidP="00993245">
      <w:pPr>
        <w:bidi/>
        <w:spacing w:after="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70116">
        <w:rPr>
          <w:rFonts w:ascii="Times New Roman" w:hAnsi="Times New Roman" w:cs="B Nazanin" w:hint="cs"/>
          <w:sz w:val="24"/>
          <w:szCs w:val="24"/>
          <w:rtl/>
        </w:rPr>
        <w:t>خواهشمند است جدول زیر به دقت تکمیل شود. برخی خانه</w:t>
      </w:r>
      <w:r w:rsidRPr="00870116">
        <w:rPr>
          <w:rFonts w:ascii="Times New Roman" w:hAnsi="Times New Roman" w:cs="B Nazanin" w:hint="cs"/>
          <w:sz w:val="24"/>
          <w:szCs w:val="24"/>
          <w:rtl/>
        </w:rPr>
        <w:softHyphen/>
        <w:t>های جدول به صورت فرضی و تنها برای مثال، تکمیل شده</w:t>
      </w:r>
      <w:r w:rsidRPr="00870116">
        <w:rPr>
          <w:rFonts w:ascii="Times New Roman" w:hAnsi="Times New Roman" w:cs="B Nazanin"/>
          <w:sz w:val="24"/>
          <w:szCs w:val="24"/>
          <w:rtl/>
        </w:rPr>
        <w:softHyphen/>
      </w:r>
      <w:r w:rsidRPr="00870116">
        <w:rPr>
          <w:rFonts w:ascii="Times New Roman" w:hAnsi="Times New Roman" w:cs="B Nazanin" w:hint="cs"/>
          <w:sz w:val="24"/>
          <w:szCs w:val="24"/>
          <w:rtl/>
        </w:rPr>
        <w:t xml:space="preserve">اند. </w:t>
      </w: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436"/>
        <w:gridCol w:w="1323"/>
        <w:gridCol w:w="1343"/>
        <w:gridCol w:w="1353"/>
        <w:gridCol w:w="1334"/>
        <w:gridCol w:w="1377"/>
        <w:gridCol w:w="1284"/>
      </w:tblGrid>
      <w:tr w:rsidR="00993245" w:rsidRPr="00870116" w14:paraId="5CFA60D5" w14:textId="77777777" w:rsidTr="00AB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29EE4780" w14:textId="77777777" w:rsidR="00993245" w:rsidRPr="00870116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345" w:type="dxa"/>
          </w:tcPr>
          <w:p w14:paraId="3539D5BD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357" w:type="dxa"/>
          </w:tcPr>
          <w:p w14:paraId="06C97E25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370" w:type="dxa"/>
          </w:tcPr>
          <w:p w14:paraId="7AF8F3AE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356" w:type="dxa"/>
          </w:tcPr>
          <w:p w14:paraId="3BA95ACA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سه</w:t>
            </w: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softHyphen/>
              <w:t>شنبه</w:t>
            </w:r>
          </w:p>
        </w:tc>
        <w:tc>
          <w:tcPr>
            <w:tcW w:w="1388" w:type="dxa"/>
          </w:tcPr>
          <w:p w14:paraId="6B0CC588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305" w:type="dxa"/>
          </w:tcPr>
          <w:p w14:paraId="6402DD8D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پنج</w:t>
            </w: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softHyphen/>
              <w:t>شنبه</w:t>
            </w:r>
          </w:p>
        </w:tc>
      </w:tr>
      <w:tr w:rsidR="00993245" w:rsidRPr="00870116" w14:paraId="05BE9E6B" w14:textId="77777777" w:rsidTr="00A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0C61B9D4" w14:textId="77777777" w:rsidR="00993245" w:rsidRPr="00870116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345" w:type="dxa"/>
          </w:tcPr>
          <w:p w14:paraId="1C22A374" w14:textId="1F3C7166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14:paraId="77E55DC6" w14:textId="111CF700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69" w:type="dxa"/>
          </w:tcPr>
          <w:p w14:paraId="354B5D75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56" w:type="dxa"/>
          </w:tcPr>
          <w:p w14:paraId="5303C8FD" w14:textId="52FEB971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14:paraId="53427F14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05" w:type="dxa"/>
          </w:tcPr>
          <w:p w14:paraId="3912150E" w14:textId="6CD72AF2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</w:tr>
      <w:tr w:rsidR="00993245" w:rsidRPr="00870116" w14:paraId="134EB315" w14:textId="77777777" w:rsidTr="00A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7CD02AA9" w14:textId="212D3E3B" w:rsidR="00993245" w:rsidRPr="00870116" w:rsidRDefault="00AE0768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 xml:space="preserve">استاد </w:t>
            </w:r>
            <w:r w:rsidR="00993245"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مسؤول</w:t>
            </w:r>
          </w:p>
        </w:tc>
        <w:tc>
          <w:tcPr>
            <w:tcW w:w="1345" w:type="dxa"/>
          </w:tcPr>
          <w:p w14:paraId="590193A6" w14:textId="5FB927B0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14:paraId="2C8A23B1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69" w:type="dxa"/>
          </w:tcPr>
          <w:p w14:paraId="4A8815B7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56" w:type="dxa"/>
          </w:tcPr>
          <w:p w14:paraId="61B5F435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8" w:type="dxa"/>
          </w:tcPr>
          <w:p w14:paraId="1C667038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05" w:type="dxa"/>
          </w:tcPr>
          <w:p w14:paraId="20EBDB74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</w:tr>
      <w:tr w:rsidR="00993245" w:rsidRPr="00870116" w14:paraId="0D41AD95" w14:textId="77777777" w:rsidTr="00A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4D38DA1C" w14:textId="77777777" w:rsidR="00993245" w:rsidRPr="00870116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زمان انجام فعالیت</w:t>
            </w:r>
            <w:r w:rsidR="00FF521C"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45" w:type="dxa"/>
          </w:tcPr>
          <w:p w14:paraId="191447D4" w14:textId="6FDE65B0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14:paraId="3A1459D2" w14:textId="6FD8EBE3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69" w:type="dxa"/>
          </w:tcPr>
          <w:p w14:paraId="39C6A3E8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56" w:type="dxa"/>
          </w:tcPr>
          <w:p w14:paraId="148AD439" w14:textId="15977E67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14:paraId="2CFC597D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85CDAC6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</w:tr>
      <w:tr w:rsidR="00993245" w:rsidRPr="00870116" w14:paraId="04907AD1" w14:textId="77777777" w:rsidTr="00A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2BACE3D4" w14:textId="77777777" w:rsidR="00993245" w:rsidRPr="00870116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FF0000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امکانات آموزشی مورد نیاز</w:t>
            </w:r>
          </w:p>
        </w:tc>
        <w:tc>
          <w:tcPr>
            <w:tcW w:w="1345" w:type="dxa"/>
          </w:tcPr>
          <w:p w14:paraId="22AD066C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14:paraId="62DC1EDF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69" w:type="dxa"/>
          </w:tcPr>
          <w:p w14:paraId="31992F59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56" w:type="dxa"/>
          </w:tcPr>
          <w:p w14:paraId="5CBA371B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14:paraId="6EE0F57A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47362E06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35C46736" w14:textId="77777777" w:rsidR="002F10FD" w:rsidRDefault="002F10FD" w:rsidP="002F10FD">
      <w:pPr>
        <w:bidi/>
        <w:spacing w:after="0"/>
        <w:jc w:val="both"/>
        <w:rPr>
          <w:rFonts w:ascii="Times New Roman" w:hAnsi="Times New Roman" w:cs="B Nazanin"/>
          <w:sz w:val="20"/>
          <w:highlight w:val="yellow"/>
          <w:rtl/>
        </w:rPr>
      </w:pPr>
    </w:p>
    <w:p w14:paraId="4AB860CD" w14:textId="77777777" w:rsidR="008568AD" w:rsidRDefault="008568AD" w:rsidP="008568AD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14:paraId="1E667EAD" w14:textId="77777777" w:rsidR="00184458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16836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3BB9DA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F9BA89F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1A0A1E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A6FA8A1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8A50B8B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EB8B248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646339F" w14:textId="77777777" w:rsidR="00803159" w:rsidRDefault="00803159" w:rsidP="00266CDD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3886B157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224E2EB9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2C633A10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5FC19A07" w14:textId="5D346500" w:rsidR="00AE0768" w:rsidRDefault="00AE0768">
      <w:pPr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br w:type="page"/>
      </w:r>
    </w:p>
    <w:p w14:paraId="3E139794" w14:textId="77777777" w:rsidR="004933D0" w:rsidRDefault="004933D0" w:rsidP="004933D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006F527C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4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8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3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5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D743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6"/>
      </w:r>
      <w:r w:rsidRPr="00CB4170">
        <w:rPr>
          <w:rFonts w:asciiTheme="majorBidi" w:hAnsiTheme="majorBidi" w:cs="B Nazanin"/>
          <w:lang w:bidi="fa-IR"/>
        </w:rPr>
        <w:t>DOPS</w:t>
      </w:r>
      <w:r w:rsidRPr="00CB4170">
        <w:rPr>
          <w:rFonts w:asciiTheme="majorBidi" w:hAnsiTheme="majorBidi" w:cs="B Nazanin" w:hint="cs"/>
          <w:rtl/>
          <w:lang w:bidi="fa-IR"/>
        </w:rPr>
        <w:t xml:space="preserve">، </w:t>
      </w:r>
      <w:r w:rsidRPr="00CB417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7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064CA5F7" w14:textId="77777777" w:rsidR="00AF72D0" w:rsidRDefault="00AF72D0" w:rsidP="00AF72D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3023C809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7BDC12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5A8FF96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F6223B0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22FFFD1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519C3ED4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0B712F9" w14:textId="77777777" w:rsidR="00D74371" w:rsidRDefault="00D74371" w:rsidP="00D743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C37AD4" w14:textId="72E77A41"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32C93" w14:textId="77777777" w:rsidR="00C43249" w:rsidRDefault="00C43249" w:rsidP="00275357">
      <w:pPr>
        <w:spacing w:after="0" w:line="240" w:lineRule="auto"/>
      </w:pPr>
      <w:r>
        <w:separator/>
      </w:r>
    </w:p>
  </w:endnote>
  <w:endnote w:type="continuationSeparator" w:id="0">
    <w:p w14:paraId="60FCDA46" w14:textId="77777777" w:rsidR="00C43249" w:rsidRDefault="00C43249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panose1 w:val="00000500000000000000"/>
    <w:charset w:val="B2"/>
    <w:family w:val="auto"/>
    <w:pitch w:val="variable"/>
    <w:sig w:usb0="00002000" w:usb1="80000000" w:usb2="00000008" w:usb3="00000000" w:csb0="00000040" w:csb1="00000000"/>
  </w:font>
  <w:font w:name="B Titr">
    <w:altName w:val="Times New Roman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4FC3E75F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FE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77C5D" w14:textId="77777777" w:rsidR="00C43249" w:rsidRDefault="00C43249" w:rsidP="00275357">
      <w:pPr>
        <w:spacing w:after="0" w:line="240" w:lineRule="auto"/>
      </w:pPr>
      <w:r>
        <w:separator/>
      </w:r>
    </w:p>
  </w:footnote>
  <w:footnote w:type="continuationSeparator" w:id="0">
    <w:p w14:paraId="670413E8" w14:textId="77777777" w:rsidR="00C43249" w:rsidRDefault="00C43249" w:rsidP="00275357">
      <w:pPr>
        <w:spacing w:after="0" w:line="240" w:lineRule="auto"/>
      </w:pPr>
      <w:r>
        <w:continuationSeparator/>
      </w:r>
    </w:p>
  </w:footnote>
  <w:footnote w:id="1">
    <w:p w14:paraId="5F6EF231" w14:textId="43CC66AF" w:rsidR="00173204" w:rsidRPr="00AE0768" w:rsidRDefault="00E82891" w:rsidP="00AE0768">
      <w:pPr>
        <w:pStyle w:val="FootnoteText"/>
        <w:rPr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</w:p>
  </w:footnote>
  <w:footnote w:id="2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3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4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5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6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7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8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9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0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1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3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4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5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6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7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B5685"/>
    <w:multiLevelType w:val="hybridMultilevel"/>
    <w:tmpl w:val="C24EA530"/>
    <w:lvl w:ilvl="0" w:tplc="DFBE0F0C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Nazani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97CA1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473AC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5514"/>
    <w:rsid w:val="00306D27"/>
    <w:rsid w:val="00310CC4"/>
    <w:rsid w:val="003225EB"/>
    <w:rsid w:val="00322FE4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C238B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2B6C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E1CED"/>
    <w:rsid w:val="006E5367"/>
    <w:rsid w:val="006F1051"/>
    <w:rsid w:val="00711C82"/>
    <w:rsid w:val="007233B1"/>
    <w:rsid w:val="00731534"/>
    <w:rsid w:val="00734B84"/>
    <w:rsid w:val="0074356F"/>
    <w:rsid w:val="00744BA6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30974"/>
    <w:rsid w:val="0083686A"/>
    <w:rsid w:val="00853ACF"/>
    <w:rsid w:val="00855906"/>
    <w:rsid w:val="008568AD"/>
    <w:rsid w:val="00862F65"/>
    <w:rsid w:val="00866EE5"/>
    <w:rsid w:val="00870116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591E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0768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2417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C7294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3249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0D45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70BBAFE0-7392-4731-8698-4E39B536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D26FF-A2B9-441C-AB1B-A9BE407C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maryam damghanian</cp:lastModifiedBy>
  <cp:revision>3</cp:revision>
  <cp:lastPrinted>2020-08-04T07:19:00Z</cp:lastPrinted>
  <dcterms:created xsi:type="dcterms:W3CDTF">2025-01-29T07:27:00Z</dcterms:created>
  <dcterms:modified xsi:type="dcterms:W3CDTF">2025-01-29T07:27:00Z</dcterms:modified>
</cp:coreProperties>
</file>